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1926" w14:textId="2DB04828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C42">
        <w:rPr>
          <w:b/>
          <w:sz w:val="48"/>
          <w:szCs w:val="48"/>
        </w:rPr>
        <w:t xml:space="preserve">PA FFA </w:t>
      </w:r>
      <w:r w:rsidR="008D4B1C">
        <w:rPr>
          <w:b/>
          <w:sz w:val="48"/>
          <w:szCs w:val="48"/>
        </w:rPr>
        <w:t>Turfgrass Science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269C94AA" w:rsidR="0017626E" w:rsidRDefault="00B6058E" w:rsidP="0099370B">
            <w:pPr>
              <w:pStyle w:val="Normal1"/>
              <w:widowControl w:val="0"/>
              <w:spacing w:line="240" w:lineRule="auto"/>
            </w:pPr>
            <w:r>
              <w:t>Kristen Althouse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40AD9188" w:rsidR="0017626E" w:rsidRDefault="00B6058E" w:rsidP="0099370B">
            <w:pPr>
              <w:pStyle w:val="Normal1"/>
              <w:widowControl w:val="0"/>
              <w:spacing w:line="240" w:lineRule="auto"/>
            </w:pPr>
            <w:hyperlink r:id="rId9" w:history="1">
              <w:r w:rsidRPr="008854FA">
                <w:rPr>
                  <w:rStyle w:val="Hyperlink"/>
                </w:rPr>
                <w:t>kalthouse113@gmail.com</w:t>
              </w:r>
            </w:hyperlink>
            <w:r>
              <w:t xml:space="preserve"> 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1ACEC06C" w:rsidR="0017626E" w:rsidRDefault="00B6058E" w:rsidP="0099370B">
            <w:pPr>
              <w:pStyle w:val="Normal1"/>
              <w:widowControl w:val="0"/>
              <w:spacing w:line="240" w:lineRule="auto"/>
            </w:pPr>
            <w:r>
              <w:t>610-914-5016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2E63B07F" w:rsidR="0017626E" w:rsidRDefault="008B51EF" w:rsidP="0099370B">
            <w:pPr>
              <w:pStyle w:val="Normal1"/>
              <w:widowControl w:val="0"/>
              <w:spacing w:line="240" w:lineRule="auto"/>
            </w:pPr>
            <w:r>
              <w:t>TBA                                                 202</w:t>
            </w:r>
            <w:r w:rsidR="00B6058E">
              <w:t>5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01A9DD91" w:rsidR="0017626E" w:rsidRDefault="00B6058E" w:rsidP="0099370B">
            <w:pPr>
              <w:pStyle w:val="Normal1"/>
              <w:widowControl w:val="0"/>
              <w:spacing w:line="240" w:lineRule="auto"/>
            </w:pPr>
            <w:r>
              <w:t>Day 1 – Classroom; Day 2 – Valentine Turfgrass Research Center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4ACF2877" w:rsidR="0017626E" w:rsidRDefault="00140E8D" w:rsidP="0099370B">
            <w:pPr>
              <w:pStyle w:val="Normal1"/>
              <w:widowControl w:val="0"/>
              <w:spacing w:line="240" w:lineRule="auto"/>
            </w:pPr>
            <w:r>
              <w:t>At the end of the CD</w:t>
            </w:r>
            <w:r w:rsidR="00B6058E">
              <w:t>E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3CBAB75F" w:rsidR="0017626E" w:rsidRDefault="00B6058E" w:rsidP="0099370B">
            <w:pPr>
              <w:pStyle w:val="Normal1"/>
              <w:widowControl w:val="0"/>
              <w:spacing w:line="240" w:lineRule="auto"/>
            </w:pPr>
            <w:r>
              <w:t>Valentine Turfgrass Research Center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Individual/Team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621986DC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B6058E">
              <w:rPr>
                <w:sz w:val="24"/>
                <w:szCs w:val="24"/>
              </w:rPr>
              <w:t>4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1C79159C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28921A8C" w14:textId="77777777" w:rsidR="005E6C42" w:rsidRPr="00BA01CB" w:rsidRDefault="005E6C42" w:rsidP="005E6C42">
            <w:pPr>
              <w:pStyle w:val="Normal1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Students are responsible for bringing the following: </w:t>
            </w:r>
          </w:p>
          <w:p w14:paraId="6A043C28" w14:textId="258C1356" w:rsidR="005E6C42" w:rsidRPr="00BA01CB" w:rsidRDefault="005E6C42" w:rsidP="005E6C42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Calculator</w:t>
            </w:r>
          </w:p>
          <w:p w14:paraId="557FA210" w14:textId="3C98A5E6" w:rsidR="005E6C42" w:rsidRPr="00BA01CB" w:rsidRDefault="005E6C42" w:rsidP="005E6C42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Clean clipboard</w:t>
            </w:r>
          </w:p>
          <w:p w14:paraId="7447CC17" w14:textId="62F9E2FB" w:rsidR="0017626E" w:rsidRDefault="005E6C42" w:rsidP="005E6C42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Two or more sharpened pencils.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6056B479" w14:textId="77777777" w:rsidR="0017626E" w:rsidRDefault="0017626E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54091A39" w14:textId="77777777" w:rsidR="00B6058E" w:rsidRPr="00BA01CB" w:rsidRDefault="00B6058E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Day 1, Classroom – Official Dress</w:t>
            </w:r>
          </w:p>
          <w:p w14:paraId="4DDD1B51" w14:textId="2813042F" w:rsidR="00140E8D" w:rsidRPr="00BA01CB" w:rsidRDefault="00B6058E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Day 2, Valentine Turfgrass Research Center - </w:t>
            </w:r>
            <w:r w:rsidR="00140E8D" w:rsidRPr="00BA01CB">
              <w:rPr>
                <w:rFonts w:ascii="Times New Roman" w:hAnsi="Times New Roman" w:cs="Times New Roman"/>
                <w:sz w:val="24"/>
                <w:szCs w:val="24"/>
              </w:rPr>
              <w:t>Work appropriate attire</w:t>
            </w:r>
          </w:p>
          <w:p w14:paraId="3BFD1D0A" w14:textId="7C945709" w:rsidR="0017626E" w:rsidRDefault="0017626E" w:rsidP="00B6058E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45228952" w14:textId="77777777" w:rsidR="00B6058E" w:rsidRPr="00BA01CB" w:rsidRDefault="00B6058E" w:rsidP="005E6C4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Day 1 – Individual - Classroom </w:t>
            </w:r>
          </w:p>
          <w:p w14:paraId="0EE11FC1" w14:textId="3ED0A589" w:rsidR="00B6058E" w:rsidRPr="00BA01CB" w:rsidRDefault="00B6058E" w:rsidP="00B6058E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General Knowledge Exam – 100 points </w:t>
            </w:r>
          </w:p>
          <w:p w14:paraId="10170179" w14:textId="77777777" w:rsidR="00B6058E" w:rsidRPr="00BA01CB" w:rsidRDefault="00B6058E" w:rsidP="00B6058E">
            <w:pPr>
              <w:pStyle w:val="Normal1"/>
              <w:widowControl w:val="0"/>
              <w:spacing w:line="24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D6E4E" w14:textId="7B448E60" w:rsidR="00B6058E" w:rsidRPr="00BA01CB" w:rsidRDefault="00B6058E" w:rsidP="005E6C4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Day 2 – Team – Valentine Turfgrass Research Center</w:t>
            </w:r>
          </w:p>
          <w:p w14:paraId="5414F09A" w14:textId="77777777" w:rsidR="0017626E" w:rsidRPr="00BA01CB" w:rsidRDefault="00B6058E" w:rsidP="005E6C4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Practicum</w:t>
            </w:r>
            <w:r w:rsidR="00B42FA2"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 – 200-400 points</w:t>
            </w:r>
          </w:p>
          <w:p w14:paraId="2B5CB162" w14:textId="3037220F" w:rsidR="00B42FA2" w:rsidRDefault="00B42FA2" w:rsidP="005E6C42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Practicum 2 – 50-150 points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74FDF6B7" w:rsidR="0017626E" w:rsidRPr="007B6393" w:rsidRDefault="00140E8D" w:rsidP="0099370B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7B6393">
              <w:rPr>
                <w:rFonts w:ascii="Times New Roman" w:hAnsi="Times New Roman" w:cs="Times New Roman"/>
                <w:sz w:val="23"/>
                <w:szCs w:val="23"/>
              </w:rPr>
              <w:t>None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4480C478" w14:textId="7F8473C5" w:rsidR="0017626E" w:rsidRPr="007B6393" w:rsidRDefault="00B6058E" w:rsidP="0099370B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Practicums may change year to year.</w:t>
            </w:r>
          </w:p>
        </w:tc>
      </w:tr>
    </w:tbl>
    <w:p w14:paraId="1DB444E5" w14:textId="77777777" w:rsidR="0017626E" w:rsidRDefault="0017626E" w:rsidP="0017626E">
      <w:pPr>
        <w:pStyle w:val="Normal1"/>
      </w:pPr>
    </w:p>
    <w:p w14:paraId="27C3DA16" w14:textId="77777777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lastRenderedPageBreak/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B5DA" w14:textId="24A3053F" w:rsidR="00140E8D" w:rsidRPr="00BA01CB" w:rsidRDefault="00B6058E" w:rsidP="00140E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General Knowledge Exam</w:t>
            </w:r>
          </w:p>
          <w:p w14:paraId="36FBA5B4" w14:textId="77777777" w:rsidR="0017626E" w:rsidRPr="00BA01CB" w:rsidRDefault="0017626E" w:rsidP="00F218E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098845B9" w:rsidR="0017626E" w:rsidRPr="00BA01CB" w:rsidRDefault="00B6058E" w:rsidP="0099370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100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75733" w14:textId="77777777" w:rsidR="005E5CB6" w:rsidRPr="00BA01CB" w:rsidRDefault="005E5CB6" w:rsidP="005E5C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Fifty (50) to one hundred (100) question exam to evaluate the participant’s knowledge. The exam will test student knowledge in the following areas:</w:t>
            </w:r>
          </w:p>
          <w:p w14:paraId="34392030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Turfgrass Identification, Selection, and Morphology</w:t>
            </w:r>
          </w:p>
          <w:p w14:paraId="0E94910E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Cultural practices including mowing, fertility, irrigation, aeration, topdressing, etc.</w:t>
            </w:r>
          </w:p>
          <w:p w14:paraId="748D81BA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Soils</w:t>
            </w:r>
          </w:p>
          <w:p w14:paraId="73B6ACE3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Drainage</w:t>
            </w:r>
          </w:p>
          <w:p w14:paraId="42136518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Turfgrass Mathematics</w:t>
            </w:r>
          </w:p>
          <w:p w14:paraId="7D1A2175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Pest Management</w:t>
            </w:r>
          </w:p>
          <w:p w14:paraId="6E827A3D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Golf course management</w:t>
            </w:r>
          </w:p>
          <w:p w14:paraId="1E98765D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Sports field management for turf and non-turf areas</w:t>
            </w:r>
          </w:p>
          <w:p w14:paraId="5A019F88" w14:textId="77777777" w:rsidR="005E5CB6" w:rsidRPr="00BA01CB" w:rsidRDefault="005E5CB6" w:rsidP="005E5CB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Equipment operation</w:t>
            </w:r>
          </w:p>
          <w:p w14:paraId="24CECAED" w14:textId="77777777" w:rsidR="00B6058E" w:rsidRPr="00BA01CB" w:rsidRDefault="00B6058E" w:rsidP="00F218EA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7189DA00" w14:textId="77777777" w:rsidR="0017626E" w:rsidRPr="00BA01CB" w:rsidRDefault="0017626E" w:rsidP="005E5C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7A61" w14:textId="5B57BA11" w:rsidR="00140E8D" w:rsidRPr="00BA01CB" w:rsidRDefault="00850E79" w:rsidP="00140E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Practicum 1</w:t>
            </w:r>
            <w:r w:rsidR="00B42FA2"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 - Stations</w:t>
            </w:r>
          </w:p>
          <w:p w14:paraId="6A9D6D6F" w14:textId="77777777" w:rsidR="0017626E" w:rsidRPr="00BA01CB" w:rsidRDefault="0017626E" w:rsidP="0099370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C339E" w14:textId="77777777" w:rsidR="0017626E" w:rsidRPr="00BA01CB" w:rsidRDefault="00850E79" w:rsidP="0099370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200-400</w:t>
            </w:r>
            <w:r w:rsidR="00F218EA"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 points</w:t>
            </w:r>
          </w:p>
          <w:p w14:paraId="347C2460" w14:textId="1ED3CA9A" w:rsidR="00850E79" w:rsidRPr="00BA01CB" w:rsidRDefault="00850E79" w:rsidP="0099370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C5DDC" w14:textId="7891A265" w:rsidR="00850E79" w:rsidRPr="00BA01CB" w:rsidRDefault="00850E79" w:rsidP="005E5CB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Team members work</w:t>
            </w:r>
            <w:r w:rsidR="005E5CB6"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together </w:t>
            </w: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at each station. Teams should be prepared for the following stations:</w:t>
            </w:r>
          </w:p>
          <w:p w14:paraId="02487C35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Turfgrass seed ID, interpreting a seed label, and Pure Live Seed calculation</w:t>
            </w:r>
          </w:p>
          <w:p w14:paraId="31D19CA6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Fertilizer calculation</w:t>
            </w:r>
          </w:p>
          <w:p w14:paraId="51736A44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Interpreting a pesticide label</w:t>
            </w:r>
          </w:p>
          <w:p w14:paraId="53C09B01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Irrigation case study</w:t>
            </w:r>
          </w:p>
          <w:p w14:paraId="1F074936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Interpreting a soil test</w:t>
            </w:r>
          </w:p>
          <w:p w14:paraId="759059E8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Pesticide calculation</w:t>
            </w:r>
          </w:p>
          <w:p w14:paraId="3DD60973" w14:textId="6E0E961D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Turfgrass disease identification </w:t>
            </w:r>
          </w:p>
          <w:p w14:paraId="57355778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Equipment case study</w:t>
            </w:r>
          </w:p>
          <w:p w14:paraId="34697681" w14:textId="5E6AE635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Turfgrass insect identification </w:t>
            </w:r>
          </w:p>
          <w:p w14:paraId="4CF3F985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Programming an irrigation controller</w:t>
            </w:r>
          </w:p>
          <w:p w14:paraId="46B8482B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Interpreting blueprints</w:t>
            </w:r>
          </w:p>
          <w:p w14:paraId="26B58632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Using a transit</w:t>
            </w:r>
          </w:p>
          <w:p w14:paraId="1CE9E736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Equipment operation</w:t>
            </w:r>
          </w:p>
          <w:p w14:paraId="5457BB30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Irrigation construction</w:t>
            </w:r>
          </w:p>
          <w:p w14:paraId="44B4FF99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Baseball mound repair</w:t>
            </w:r>
          </w:p>
          <w:p w14:paraId="6EBE5E48" w14:textId="77777777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Fertilizer/pesticide calibration</w:t>
            </w:r>
          </w:p>
          <w:p w14:paraId="1833D7DC" w14:textId="580C3E5E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Turfgrass ID </w:t>
            </w:r>
          </w:p>
          <w:p w14:paraId="17ECD563" w14:textId="688AB846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Broadleaf and grass weed ID </w:t>
            </w:r>
          </w:p>
          <w:p w14:paraId="73C2EEDC" w14:textId="42C37A0C" w:rsidR="00850E79" w:rsidRPr="00BA01CB" w:rsidRDefault="00850E79" w:rsidP="00850E79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Soil ID </w:t>
            </w:r>
          </w:p>
          <w:p w14:paraId="198C43AE" w14:textId="240EF4AA" w:rsidR="0017626E" w:rsidRPr="00BA01CB" w:rsidRDefault="00850E79" w:rsidP="00B42FA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Equipment ID </w:t>
            </w:r>
          </w:p>
        </w:tc>
      </w:tr>
      <w:tr w:rsidR="00850E79" w14:paraId="322BC2CE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D492" w14:textId="124735D3" w:rsidR="00850E79" w:rsidRPr="00BA01CB" w:rsidRDefault="00850E79" w:rsidP="00140E8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Practicum 2</w:t>
            </w:r>
            <w:r w:rsidR="00B42FA2" w:rsidRPr="00BA01CB">
              <w:rPr>
                <w:rFonts w:ascii="Times New Roman" w:hAnsi="Times New Roman" w:cs="Times New Roman"/>
                <w:sz w:val="24"/>
                <w:szCs w:val="24"/>
              </w:rPr>
              <w:t xml:space="preserve"> - Scenarios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A4A8" w14:textId="561B3BFA" w:rsidR="00850E79" w:rsidRPr="00BA01CB" w:rsidRDefault="00B42FA2" w:rsidP="0099370B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CB">
              <w:rPr>
                <w:rFonts w:ascii="Times New Roman" w:hAnsi="Times New Roman" w:cs="Times New Roman"/>
                <w:sz w:val="24"/>
                <w:szCs w:val="24"/>
              </w:rPr>
              <w:t>50-150 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D17E3" w14:textId="77777777" w:rsidR="00B42FA2" w:rsidRPr="00BA01CB" w:rsidRDefault="00850E79" w:rsidP="005E5CB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Team members work together to solve problems commonly encountered in the turfgrass industry. </w:t>
            </w:r>
            <w:r w:rsidR="00B42FA2"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It is designed to evaluate individual and group contributions in coordination and cooperation of knowledge, evaluation, and decision-making.</w:t>
            </w:r>
          </w:p>
          <w:p w14:paraId="6EB1A013" w14:textId="3E176291" w:rsidR="00850E79" w:rsidRPr="00BA01CB" w:rsidRDefault="00850E79" w:rsidP="005E5CB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These can include:</w:t>
            </w:r>
          </w:p>
          <w:p w14:paraId="50B26DE7" w14:textId="77777777" w:rsidR="00850E79" w:rsidRPr="00BA01CB" w:rsidRDefault="00850E79" w:rsidP="005E5CB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Site evaluation – Teams must evaluate a sports field area for problems and make recommendations for how to improve.</w:t>
            </w:r>
          </w:p>
          <w:p w14:paraId="5EAA91D6" w14:textId="078F028F" w:rsidR="00850E79" w:rsidRPr="00BA01CB" w:rsidRDefault="00850E79" w:rsidP="005E5CB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Fertilizer calibration – Teams work through calibration of fertilizer application equipment</w:t>
            </w:r>
            <w:r w:rsidR="00B42FA2"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to determine the correct amount of product to be applied to an area</w:t>
            </w: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F307CAC" w14:textId="4E31A099" w:rsidR="00850E79" w:rsidRPr="00BA01CB" w:rsidRDefault="00850E79" w:rsidP="005E5CB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Consultation scenario – Teams receive a common turfgrass problem they must solve. The team gives a verbal presentation to the customers</w:t>
            </w:r>
            <w:r w:rsidR="00B42FA2"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/turfgrass managers</w:t>
            </w:r>
            <w:r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(judges</w:t>
            </w:r>
            <w:r w:rsidR="00B42FA2" w:rsidRPr="00BA01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 on their solution.</w:t>
            </w:r>
          </w:p>
        </w:tc>
      </w:tr>
      <w:tr w:rsidR="0017626E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F9BD4" w14:textId="37430BFE" w:rsidR="0017626E" w:rsidRPr="005900F8" w:rsidRDefault="0017626E" w:rsidP="00B42FA2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b/>
              </w:rPr>
              <w:t xml:space="preserve">Causes for Disqualification: </w:t>
            </w:r>
            <w:r w:rsidR="00C36940" w:rsidRPr="005900F8">
              <w:rPr>
                <w:rFonts w:ascii="Times New Roman" w:hAnsi="Times New Roman" w:cs="Times New Roman"/>
              </w:rPr>
              <w:t>1.</w:t>
            </w:r>
            <w:r w:rsidR="00C36940">
              <w:rPr>
                <w:b/>
              </w:rPr>
              <w:t xml:space="preserve"> </w:t>
            </w:r>
            <w:r w:rsidR="00C36940" w:rsidRPr="00C36940">
              <w:rPr>
                <w:rFonts w:ascii="Times New Roman" w:hAnsi="Times New Roman" w:cs="Times New Roman"/>
                <w:sz w:val="23"/>
                <w:szCs w:val="23"/>
              </w:rPr>
              <w:t>Any participant in possession of an electronic device in the event area is subject to disqualification.</w:t>
            </w:r>
            <w:r w:rsidR="00C36940">
              <w:rPr>
                <w:sz w:val="23"/>
                <w:szCs w:val="23"/>
              </w:rPr>
              <w:t xml:space="preserve"> </w:t>
            </w:r>
            <w:r w:rsidR="00F218EA">
              <w:rPr>
                <w:b/>
              </w:rPr>
              <w:t xml:space="preserve"> </w:t>
            </w:r>
          </w:p>
        </w:tc>
      </w:tr>
      <w:tr w:rsidR="0017626E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1C71" w14:textId="77777777" w:rsidR="00C36940" w:rsidRPr="005900F8" w:rsidRDefault="0017626E" w:rsidP="00C369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LegacySans-Bold"/>
                <w:color w:val="auto"/>
                <w:sz w:val="23"/>
                <w:szCs w:val="23"/>
                <w:lang w:bidi="en-US"/>
              </w:rPr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  <w:r w:rsidR="00C36940" w:rsidRPr="005900F8">
              <w:rPr>
                <w:rFonts w:ascii="Times New Roman" w:eastAsia="Times New Roman" w:hAnsi="Times New Roman" w:cs="LegacySans-Bold"/>
                <w:color w:val="auto"/>
                <w:sz w:val="23"/>
                <w:szCs w:val="23"/>
                <w:lang w:bidi="en-US"/>
              </w:rPr>
              <w:t>If needed in the case of tied individual or team total scores, final placings will be determined by comparing, in order, scores for the following:</w:t>
            </w:r>
          </w:p>
          <w:p w14:paraId="64090002" w14:textId="77777777" w:rsidR="00B42FA2" w:rsidRPr="00BC3BD7" w:rsidRDefault="00B42FA2" w:rsidP="00B42FA2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Team and Individual</w:t>
            </w:r>
          </w:p>
          <w:p w14:paraId="48524A75" w14:textId="77777777" w:rsidR="00B42FA2" w:rsidRPr="00BC3BD7" w:rsidRDefault="00B42FA2" w:rsidP="00B42FA2">
            <w:pPr>
              <w:pStyle w:val="NoSpacing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1. Written Exam</w:t>
            </w:r>
          </w:p>
          <w:p w14:paraId="17FF3C67" w14:textId="1BEC8E26" w:rsidR="00B42FA2" w:rsidRPr="00BC3BD7" w:rsidRDefault="00B42FA2" w:rsidP="00B42FA2">
            <w:pPr>
              <w:pStyle w:val="NoSpacing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Practicum 2 Scores</w:t>
            </w:r>
          </w:p>
          <w:p w14:paraId="5296F8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8AA8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Turgeon and Kaminski (2019). Turfgrass Management (Current Edition)</w:t>
            </w:r>
          </w:p>
          <w:p w14:paraId="1058323D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Christians and Agnew (2008). The Mathematics of Turfgrass Maintenance (Fourth</w:t>
            </w:r>
          </w:p>
          <w:p w14:paraId="228C1485" w14:textId="77777777" w:rsidR="00B42FA2" w:rsidRPr="00BC3BD7" w:rsidRDefault="00B42FA2" w:rsidP="00B42FA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Edition).</w:t>
            </w:r>
          </w:p>
          <w:p w14:paraId="72FBFB4B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Emmons and Rossi (2015). Turfgrass Science and Management (Fifth Edition).</w:t>
            </w:r>
          </w:p>
          <w:p w14:paraId="47E4694D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Puhalla, Krans, and Goatley (2010). Sports Fields: Design, Construction, and</w:t>
            </w:r>
          </w:p>
          <w:p w14:paraId="20A88EF5" w14:textId="77777777" w:rsidR="00B42FA2" w:rsidRPr="00BC3BD7" w:rsidRDefault="00B42FA2" w:rsidP="00B42FA2">
            <w:pPr>
              <w:pStyle w:val="NoSpacing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Maintenance.</w:t>
            </w:r>
          </w:p>
          <w:p w14:paraId="7D811AA0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Walker (2009). The Field Guide: The Layout and Dimensions of Sports Fields.</w:t>
            </w:r>
          </w:p>
          <w:p w14:paraId="5CE77338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Smiley,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Dernoeden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, and Clarke (2005) Compendium of Turfgrass Diseases (Third Edition)</w:t>
            </w:r>
          </w:p>
          <w:p w14:paraId="363C185E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Uva, Neal, and DiTomaso (1997). Weeds of the Northeast.</w:t>
            </w:r>
          </w:p>
          <w:p w14:paraId="3A7F8CA4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Penn State Center for Turfgrass Science – Plant ID - </w:t>
            </w:r>
            <w:hyperlink r:id="rId10" w:history="1">
              <w:r w:rsidRPr="00BC3B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https://plantscience.psu.edu/research/centers/turf/extension/plant-id</w:t>
              </w:r>
            </w:hyperlink>
          </w:p>
          <w:p w14:paraId="4A4335C9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Brandenburg and Villani (1995). Handbook of Turfgrass Insect Pests.</w:t>
            </w:r>
          </w:p>
          <w:p w14:paraId="0F73416E" w14:textId="77777777" w:rsidR="00B42FA2" w:rsidRPr="00BC3BD7" w:rsidRDefault="00B42FA2" w:rsidP="00B42FA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Penn State Center for Turfgrass Science – Resources on Professional Turfgrass Management - </w:t>
            </w:r>
            <w:hyperlink r:id="rId11" w:history="1">
              <w:r w:rsidRPr="00BC3BD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https://plantscience.psu.edu/research/centers/turf/extension/professional-turf</w:t>
              </w:r>
            </w:hyperlink>
          </w:p>
          <w:p w14:paraId="6275460D" w14:textId="77777777" w:rsidR="0017626E" w:rsidRPr="0017626E" w:rsidRDefault="0017626E" w:rsidP="0099370B">
            <w:pPr>
              <w:pStyle w:val="Normal1"/>
              <w:widowControl w:val="0"/>
              <w:spacing w:line="240" w:lineRule="auto"/>
            </w:pPr>
          </w:p>
        </w:tc>
      </w:tr>
      <w:tr w:rsidR="00492277" w14:paraId="0F4EDBE2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C9C9B" w14:textId="77777777" w:rsidR="0049227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Lists</w:t>
            </w:r>
          </w:p>
          <w:p w14:paraId="72146E4C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Turfgrass Species and Seed </w:t>
            </w:r>
          </w:p>
          <w:p w14:paraId="14D83C85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Creeping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Bentgrass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Argrostis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palustris)</w:t>
            </w:r>
          </w:p>
          <w:p w14:paraId="469664CD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Velvet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Bentgrass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Agrostis canina)</w:t>
            </w:r>
          </w:p>
          <w:p w14:paraId="12A5E5F1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Kentucky Bluegrass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 pratensis)</w:t>
            </w:r>
          </w:p>
          <w:p w14:paraId="0172FD63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Rough Bluegrass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trivialis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36F603C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Annual Bluegrass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 annua)</w:t>
            </w:r>
          </w:p>
          <w:p w14:paraId="52CBAA26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Perennial Ryegrass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Lolium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perenne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A4B5CAA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Annual Ryegrass aka. Italian Ryegrass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Lolium multiflorum)</w:t>
            </w:r>
          </w:p>
          <w:p w14:paraId="682EDAA5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Tall Fescue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Festuca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arundinacea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6886D391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Fine Fescue (includes: 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Festuca rubra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ssp.rubra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Festuca rubra ssp.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Cumnutata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176F4389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Bermudagrass (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Cynodon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dactylon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7E9ACA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Buffalograss (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Bouteloua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dactyloides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04FDD0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Centipedegrass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Eremochloa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ophiuroides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08A0AE0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Augustinegrass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Stenotaphrum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secundatum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5AD00605" w14:textId="77777777" w:rsidR="00492277" w:rsidRPr="00BC3BD7" w:rsidRDefault="00492277" w:rsidP="004922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Seashore Paspalum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Paspalum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vaginatum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7983D510" w14:textId="77777777" w:rsidR="00492277" w:rsidRPr="00BC3BD7" w:rsidRDefault="00492277" w:rsidP="00492277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Zoysiagrass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Zoysia japonica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191D28E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6248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Broadleaf and Grassy Weeds</w:t>
            </w:r>
          </w:p>
          <w:p w14:paraId="6792560C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 annua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Annual Bluegrass</w:t>
            </w:r>
          </w:p>
          <w:p w14:paraId="73FBE7CB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Echinochloa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crusgalli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Barnyardgrass</w:t>
            </w:r>
            <w:proofErr w:type="spellEnd"/>
          </w:p>
          <w:p w14:paraId="21F843FE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Agrostis sp.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Bentgrass</w:t>
            </w:r>
            <w:proofErr w:type="spellEnd"/>
          </w:p>
          <w:p w14:paraId="4C553AD1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Cynodon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dactylon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Bermudagrass</w:t>
            </w:r>
          </w:p>
          <w:p w14:paraId="7CBE5211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Digitaria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Crabgrass</w:t>
            </w:r>
          </w:p>
          <w:p w14:paraId="2C5F56D4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Setaria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sp.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Foxtail</w:t>
            </w:r>
          </w:p>
          <w:p w14:paraId="6092D835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Eleusine indica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Goosegrass</w:t>
            </w:r>
          </w:p>
          <w:p w14:paraId="7C7D573F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Muhlenbergia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scherberi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Nimblewill</w:t>
            </w:r>
            <w:proofErr w:type="spellEnd"/>
          </w:p>
          <w:p w14:paraId="6F88FE99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Dactylis glomerata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Orchardgrass</w:t>
            </w:r>
            <w:proofErr w:type="spellEnd"/>
          </w:p>
          <w:p w14:paraId="759C3761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Agropyron repens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Quackgrass</w:t>
            </w:r>
            <w:proofErr w:type="spellEnd"/>
          </w:p>
          <w:p w14:paraId="05057190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Festuca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arundinacea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Tall Fescue</w:t>
            </w:r>
          </w:p>
          <w:p w14:paraId="3CE25563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Cvperus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esculentus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(yellow) Nutsedge</w:t>
            </w:r>
          </w:p>
          <w:p w14:paraId="51F29A05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Cvperus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rotundus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(purple) Nutsedge</w:t>
            </w:r>
          </w:p>
          <w:p w14:paraId="630B9099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Allium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vineale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Wild Garlic/Onion</w:t>
            </w:r>
          </w:p>
          <w:p w14:paraId="4DB7352B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Medicago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lupulina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Black Medic</w:t>
            </w:r>
          </w:p>
          <w:p w14:paraId="087F8891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Plantago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rugelii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P. major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Broadleaf Plantain</w:t>
            </w:r>
          </w:p>
          <w:p w14:paraId="1FA6E344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Plantago lanceolata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Buckhorn Plantain</w:t>
            </w:r>
          </w:p>
          <w:p w14:paraId="60697135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Cirsium vulgare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Bull Thistle</w:t>
            </w:r>
          </w:p>
          <w:p w14:paraId="4828DF5C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Cirsium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arvense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Canada Thistle</w:t>
            </w:r>
          </w:p>
          <w:p w14:paraId="630DB5D8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Mollugo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verticillata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Carpetweed</w:t>
            </w:r>
          </w:p>
          <w:p w14:paraId="20060F1D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Stellaria media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Common Chickweed</w:t>
            </w:r>
          </w:p>
          <w:p w14:paraId="237E97BD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Cerastium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vulgatum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Mouseear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Chickweed</w:t>
            </w:r>
          </w:p>
          <w:p w14:paraId="4A8FFD15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Taraxacum officinale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Dandelion</w:t>
            </w:r>
          </w:p>
          <w:p w14:paraId="10ECFD27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Kyllinga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brevifolia</w:t>
            </w:r>
            <w:proofErr w:type="spellEnd"/>
            <w:r w:rsidRPr="00BC3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Green </w:t>
            </w:r>
            <w:proofErr w:type="spellStart"/>
            <w:r w:rsidRPr="00BC3B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kyllinga</w:t>
            </w:r>
            <w:proofErr w:type="spellEnd"/>
          </w:p>
          <w:p w14:paraId="6EB87192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Glecoma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hederacea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Ground Ivy</w:t>
            </w:r>
          </w:p>
          <w:p w14:paraId="34E9D4EB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Oxalis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montana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Common groundsel</w:t>
            </w:r>
          </w:p>
          <w:p w14:paraId="0999FDFC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Hieracium pratense H.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aurantiacum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Yellow/Orange Hawkweed</w:t>
            </w:r>
          </w:p>
          <w:p w14:paraId="73B17261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Prunella vulgaris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Healall</w:t>
            </w:r>
            <w:proofErr w:type="spellEnd"/>
          </w:p>
          <w:p w14:paraId="797DD82A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Lamium amplexicaule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Henbit</w:t>
            </w:r>
          </w:p>
          <w:p w14:paraId="6BDAB6DF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color w:val="0A0A0A"/>
                <w:sz w:val="24"/>
                <w:szCs w:val="24"/>
                <w:shd w:val="clear" w:color="auto" w:fill="FFFFFF"/>
              </w:rPr>
              <w:t>Microstegium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color w:val="0A0A0A"/>
                <w:sz w:val="24"/>
                <w:szCs w:val="24"/>
                <w:shd w:val="clear" w:color="auto" w:fill="FFFFFF"/>
              </w:rPr>
              <w:t>vimineum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Japanese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stiltgrass</w:t>
            </w:r>
            <w:proofErr w:type="spellEnd"/>
          </w:p>
          <w:p w14:paraId="40A66D57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Polygonum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aviculare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Knotweed</w:t>
            </w:r>
          </w:p>
          <w:p w14:paraId="4BBD84D6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Malva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neglecta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Mallow</w:t>
            </w:r>
          </w:p>
          <w:p w14:paraId="409DE49A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Verbascum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thapsus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Mullien</w:t>
            </w:r>
            <w:proofErr w:type="spellEnd"/>
          </w:p>
          <w:p w14:paraId="0457C024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Polygonum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pensylvanicum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Pennsylvania smartweed </w:t>
            </w:r>
          </w:p>
          <w:p w14:paraId="3572D08A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Hydrocotvle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sp. 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Pennywort (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Dollarweed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B6FF19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Portulaca oleracea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Purslane</w:t>
            </w:r>
          </w:p>
          <w:p w14:paraId="57652810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trivialis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Rough Bluegrass </w:t>
            </w:r>
          </w:p>
          <w:p w14:paraId="5EBEE0AD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Rumex acetosella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Sheep Sorrel</w:t>
            </w:r>
          </w:p>
          <w:p w14:paraId="5BBE3825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Capsella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bursa-pastoris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Shepherds purse</w:t>
            </w:r>
          </w:p>
          <w:p w14:paraId="2B7CC17A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Veronica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filiformis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V.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Officinalis,V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serpvllifolia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Creeping Speedwell</w:t>
            </w:r>
          </w:p>
          <w:p w14:paraId="6C173D95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Veronica arvensis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Corn Speedwell</w:t>
            </w:r>
          </w:p>
          <w:p w14:paraId="52A27C48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Euphorbia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maculata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&amp; E.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supina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Spurge</w:t>
            </w:r>
          </w:p>
          <w:p w14:paraId="3E86B970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Holcus </w:t>
            </w: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lanatus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Velvetgrass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84CB03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Trifolium repens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White Clover</w:t>
            </w:r>
          </w:p>
          <w:p w14:paraId="6E6D1D4F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Style w:val="Emphasis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Daucus carota Wild Carrot</w:t>
            </w:r>
          </w:p>
          <w:p w14:paraId="6B0A5D20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Oxalis stricta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Yellow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Woodsorrel</w:t>
            </w:r>
            <w:proofErr w:type="spellEnd"/>
          </w:p>
          <w:p w14:paraId="07A39787" w14:textId="77777777" w:rsidR="00492277" w:rsidRPr="00BC3BD7" w:rsidRDefault="00492277" w:rsidP="0049227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Achillea millefolium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Yarrow</w:t>
            </w:r>
          </w:p>
          <w:p w14:paraId="29F8D61C" w14:textId="77777777" w:rsidR="00492277" w:rsidRPr="00BC3BD7" w:rsidRDefault="00492277" w:rsidP="00492277">
            <w:pPr>
              <w:pStyle w:val="NoSpacing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Barberea</w:t>
            </w:r>
            <w:proofErr w:type="spellEnd"/>
            <w:r w:rsidRPr="00BC3B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vulgaris</w:t>
            </w: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Yellow Rocket</w:t>
            </w:r>
          </w:p>
          <w:p w14:paraId="4A3AAF43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274EE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Turfgrass Soils </w:t>
            </w:r>
          </w:p>
          <w:p w14:paraId="042CB544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Brick Dust</w:t>
            </w:r>
          </w:p>
          <w:p w14:paraId="4232AD45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Calcined Clay</w:t>
            </w:r>
          </w:p>
          <w:p w14:paraId="2D2E196B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Clay Rootzone</w:t>
            </w:r>
          </w:p>
          <w:p w14:paraId="5C91E02E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Compost</w:t>
            </w:r>
          </w:p>
          <w:p w14:paraId="63523B65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Crumb Rubber</w:t>
            </w:r>
          </w:p>
          <w:p w14:paraId="64BD871A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Diatomaceous Earth</w:t>
            </w:r>
          </w:p>
          <w:p w14:paraId="55F4E27C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Drainage Stone</w:t>
            </w:r>
          </w:p>
          <w:p w14:paraId="2EA19A6C" w14:textId="77777777" w:rsidR="00492277" w:rsidRPr="00BC3BD7" w:rsidRDefault="00492277" w:rsidP="00492277">
            <w:pPr>
              <w:pStyle w:val="NoSpacing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Pea gravel</w:t>
            </w:r>
          </w:p>
          <w:p w14:paraId="08ADDFE1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Expanded Shale</w:t>
            </w:r>
          </w:p>
          <w:p w14:paraId="11726886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Infield Mix</w:t>
            </w:r>
          </w:p>
          <w:p w14:paraId="6D208F7B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Limestone</w:t>
            </w:r>
          </w:p>
          <w:p w14:paraId="152D415F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Mound Clay</w:t>
            </w:r>
          </w:p>
          <w:p w14:paraId="04318B58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Native Soil Rootzone</w:t>
            </w:r>
          </w:p>
          <w:p w14:paraId="7BBB5A6D" w14:textId="77777777" w:rsidR="00492277" w:rsidRPr="00BC3BD7" w:rsidRDefault="00492277" w:rsidP="00492277">
            <w:pPr>
              <w:pStyle w:val="NoSpacing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Heavy clay</w:t>
            </w:r>
          </w:p>
          <w:p w14:paraId="5D88EEEC" w14:textId="77777777" w:rsidR="00492277" w:rsidRPr="00BC3BD7" w:rsidRDefault="00492277" w:rsidP="00492277">
            <w:pPr>
              <w:pStyle w:val="NoSpacing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Loam</w:t>
            </w:r>
          </w:p>
          <w:p w14:paraId="6942C027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Peat</w:t>
            </w:r>
          </w:p>
          <w:p w14:paraId="40D29200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Sand</w:t>
            </w:r>
          </w:p>
          <w:p w14:paraId="6937F12D" w14:textId="77777777" w:rsidR="00492277" w:rsidRPr="00BC3BD7" w:rsidRDefault="00492277" w:rsidP="00492277">
            <w:pPr>
              <w:pStyle w:val="NoSpacing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Topdressing Sand</w:t>
            </w:r>
          </w:p>
          <w:p w14:paraId="222C29C2" w14:textId="77777777" w:rsidR="00492277" w:rsidRPr="00BC3BD7" w:rsidRDefault="00492277" w:rsidP="00492277">
            <w:pPr>
              <w:pStyle w:val="NoSpacing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Sand Rootzone</w:t>
            </w:r>
          </w:p>
          <w:p w14:paraId="134ACC39" w14:textId="77777777" w:rsidR="00492277" w:rsidRPr="00BC3BD7" w:rsidRDefault="00492277" w:rsidP="00492277">
            <w:pPr>
              <w:pStyle w:val="NoSpacing"/>
              <w:numPr>
                <w:ilvl w:val="1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Silica sand</w:t>
            </w:r>
          </w:p>
          <w:p w14:paraId="37896AE5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Topsoil</w:t>
            </w:r>
          </w:p>
          <w:p w14:paraId="2DD691E8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Vitrified Clay</w:t>
            </w:r>
          </w:p>
          <w:p w14:paraId="1BA84C66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Warning Track Material</w:t>
            </w:r>
          </w:p>
          <w:p w14:paraId="228793BD" w14:textId="77777777" w:rsidR="00492277" w:rsidRPr="00BC3BD7" w:rsidRDefault="00492277" w:rsidP="00492277">
            <w:pPr>
              <w:pStyle w:val="NoSpacing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Zeolite</w:t>
            </w:r>
          </w:p>
          <w:p w14:paraId="463B735B" w14:textId="77777777" w:rsidR="00492277" w:rsidRPr="00BC3BD7" w:rsidRDefault="00492277" w:rsidP="004922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3EA6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Turfgrass equipment </w:t>
            </w:r>
          </w:p>
          <w:p w14:paraId="37016948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Aeration Equipment</w:t>
            </w:r>
          </w:p>
          <w:p w14:paraId="4C30B61D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Air Injection</w:t>
            </w:r>
          </w:p>
          <w:p w14:paraId="03C750E7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Deep Drill</w:t>
            </w:r>
          </w:p>
          <w:p w14:paraId="107763A5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Fraise Mower</w:t>
            </w:r>
          </w:p>
          <w:p w14:paraId="4F366D7C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Hollow tines </w:t>
            </w:r>
          </w:p>
          <w:p w14:paraId="7612FEE4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Hollow tine aerator</w:t>
            </w:r>
          </w:p>
          <w:p w14:paraId="51C970A8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Solid tines</w:t>
            </w:r>
          </w:p>
          <w:p w14:paraId="37F3B260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Solid tine aerator</w:t>
            </w:r>
          </w:p>
          <w:p w14:paraId="1B0EE272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Spiker/Slicer</w:t>
            </w:r>
          </w:p>
          <w:p w14:paraId="2511F387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Vertical Mower/Verticutter</w:t>
            </w:r>
          </w:p>
          <w:p w14:paraId="3CB839CA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Water Injection</w:t>
            </w:r>
          </w:p>
          <w:p w14:paraId="028DD99F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Air Filter</w:t>
            </w:r>
          </w:p>
          <w:p w14:paraId="16E25712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Blower</w:t>
            </w:r>
          </w:p>
          <w:p w14:paraId="04330AC3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Broom</w:t>
            </w:r>
          </w:p>
          <w:p w14:paraId="35308E51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Diaphragm Pump</w:t>
            </w:r>
          </w:p>
          <w:p w14:paraId="22D08B1A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Drag Mat</w:t>
            </w:r>
          </w:p>
          <w:p w14:paraId="35751779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Edger</w:t>
            </w:r>
          </w:p>
          <w:p w14:paraId="68124B2E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Fertilizer Spreader</w:t>
            </w:r>
          </w:p>
          <w:p w14:paraId="20DB15D4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</w:p>
          <w:p w14:paraId="0FE131FF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Rotary</w:t>
            </w:r>
          </w:p>
          <w:p w14:paraId="4D47BE28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Tractor Mounted</w:t>
            </w:r>
          </w:p>
          <w:p w14:paraId="5456D90D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Front End Loader</w:t>
            </w:r>
          </w:p>
          <w:p w14:paraId="22D19D5E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Fuel Filter</w:t>
            </w:r>
          </w:p>
          <w:p w14:paraId="5E8EEA3A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Fuel Tank</w:t>
            </w:r>
          </w:p>
          <w:p w14:paraId="2BBC8D10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Grader/Laser Level</w:t>
            </w:r>
          </w:p>
          <w:p w14:paraId="7B7C580E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Groomer</w:t>
            </w:r>
          </w:p>
          <w:p w14:paraId="6C4B0898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Hydraulic Filter</w:t>
            </w:r>
          </w:p>
          <w:p w14:paraId="1595A4A2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Hydraulic Line</w:t>
            </w:r>
          </w:p>
          <w:p w14:paraId="28D9A69B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Hydraulic Pump</w:t>
            </w:r>
          </w:p>
          <w:p w14:paraId="40D95449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Hydraulic Reservoir</w:t>
            </w:r>
          </w:p>
          <w:p w14:paraId="6C835566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Mowers</w:t>
            </w:r>
          </w:p>
          <w:p w14:paraId="057024F1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Flail</w:t>
            </w:r>
          </w:p>
          <w:p w14:paraId="3A45E0D5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Reel</w:t>
            </w:r>
          </w:p>
          <w:p w14:paraId="25CF1675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Rotary</w:t>
            </w:r>
          </w:p>
          <w:p w14:paraId="149D607F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Oil Filter</w:t>
            </w:r>
          </w:p>
          <w:p w14:paraId="748BA161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Painter</w:t>
            </w:r>
          </w:p>
          <w:p w14:paraId="2BBAFDC0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Reel Mower HOC Gauge/Accu-Gage</w:t>
            </w:r>
          </w:p>
          <w:p w14:paraId="3FA57DCD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Reel Mower Components</w:t>
            </w:r>
          </w:p>
          <w:p w14:paraId="4AD7ED26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Spider</w:t>
            </w:r>
          </w:p>
          <w:p w14:paraId="58B1B62D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Reel cylinder</w:t>
            </w:r>
          </w:p>
          <w:p w14:paraId="34A6C15A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Reel blade</w:t>
            </w:r>
          </w:p>
          <w:p w14:paraId="7C546DD6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Shaft</w:t>
            </w:r>
          </w:p>
          <w:p w14:paraId="4E06AA45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Bedbar</w:t>
            </w:r>
            <w:proofErr w:type="spellEnd"/>
          </w:p>
          <w:p w14:paraId="70BEF8E6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Bedknife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5F759B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Bedknife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adjuster</w:t>
            </w:r>
          </w:p>
          <w:p w14:paraId="0E2FA470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</w:p>
          <w:p w14:paraId="54C40A18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Roller adjuster</w:t>
            </w:r>
          </w:p>
          <w:p w14:paraId="7FC41767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Rotary Mower Components</w:t>
            </w:r>
          </w:p>
          <w:p w14:paraId="20C2BEB5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Mulching blades</w:t>
            </w:r>
          </w:p>
          <w:p w14:paraId="6A1AFBFE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Bench grinder</w:t>
            </w:r>
          </w:p>
          <w:p w14:paraId="2842421A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Balancer </w:t>
            </w:r>
          </w:p>
          <w:p w14:paraId="10EE9878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</w:p>
          <w:p w14:paraId="2C5BEFD6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Seeder</w:t>
            </w:r>
          </w:p>
          <w:p w14:paraId="5E0CC014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Skid-Steer</w:t>
            </w:r>
          </w:p>
          <w:p w14:paraId="2A31A937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Sod cutter</w:t>
            </w:r>
          </w:p>
          <w:p w14:paraId="4E3576AD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Soil Probe</w:t>
            </w:r>
          </w:p>
          <w:p w14:paraId="7416A090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Sprayers</w:t>
            </w:r>
          </w:p>
          <w:p w14:paraId="231AACB9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Backpack</w:t>
            </w:r>
          </w:p>
          <w:p w14:paraId="51610B26" w14:textId="77777777" w:rsidR="00492277" w:rsidRPr="00BC3BD7" w:rsidRDefault="00492277" w:rsidP="00492277">
            <w:pPr>
              <w:pStyle w:val="NoSpacing"/>
              <w:numPr>
                <w:ilvl w:val="1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Boom</w:t>
            </w:r>
          </w:p>
          <w:p w14:paraId="12F597C2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Sweeper</w:t>
            </w:r>
          </w:p>
          <w:p w14:paraId="72CBB6FA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Tamp</w:t>
            </w:r>
          </w:p>
          <w:p w14:paraId="0C379C4B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Topdresser</w:t>
            </w:r>
            <w:proofErr w:type="spellEnd"/>
          </w:p>
          <w:p w14:paraId="4C73AC4E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Tractor</w:t>
            </w:r>
          </w:p>
          <w:p w14:paraId="0CA61BFC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Transit</w:t>
            </w:r>
          </w:p>
          <w:p w14:paraId="5B8C3862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Trencher</w:t>
            </w:r>
          </w:p>
          <w:p w14:paraId="2D5BFD64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Trimmer - Line trimmer/weed whacker</w:t>
            </w:r>
          </w:p>
          <w:p w14:paraId="3D14AD7C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Utility Vehicle</w:t>
            </w:r>
          </w:p>
          <w:p w14:paraId="5D5044D0" w14:textId="77777777" w:rsidR="00492277" w:rsidRPr="00BC3BD7" w:rsidRDefault="00492277" w:rsidP="00492277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York Rake</w:t>
            </w:r>
          </w:p>
          <w:p w14:paraId="6B6CC670" w14:textId="77777777" w:rsidR="00492277" w:rsidRPr="00BC3BD7" w:rsidRDefault="00492277" w:rsidP="004922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59F96" w14:textId="77777777" w:rsidR="00492277" w:rsidRPr="00BC3BD7" w:rsidRDefault="00492277" w:rsidP="0049227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Turfgrass diseases</w:t>
            </w:r>
          </w:p>
          <w:p w14:paraId="3DC822B9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Anthracnose</w:t>
            </w:r>
          </w:p>
          <w:p w14:paraId="41E8D5E5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Brown Patch</w:t>
            </w:r>
          </w:p>
          <w:p w14:paraId="1C627EFF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Dollar Spot</w:t>
            </w:r>
          </w:p>
          <w:p w14:paraId="09AEB716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Fairy Ring</w:t>
            </w:r>
          </w:p>
          <w:p w14:paraId="0EB26E2F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Gray Leaf Spot</w:t>
            </w:r>
          </w:p>
          <w:p w14:paraId="6E39B479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Gray Snow Mold</w:t>
            </w:r>
          </w:p>
          <w:p w14:paraId="36CD7706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Helminthosporium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Leaf Spot</w:t>
            </w:r>
          </w:p>
          <w:p w14:paraId="035BFEC5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Necrotic Ring Spot</w:t>
            </w:r>
          </w:p>
          <w:p w14:paraId="7B497A05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Nematodes</w:t>
            </w:r>
          </w:p>
          <w:p w14:paraId="4CDB0355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Pink Snow Mold</w:t>
            </w:r>
          </w:p>
          <w:p w14:paraId="091BB4EA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Powdery Mildew</w:t>
            </w:r>
          </w:p>
          <w:p w14:paraId="06F8311B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Pythium Blight</w:t>
            </w:r>
          </w:p>
          <w:p w14:paraId="7A807FD8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Red Thread</w:t>
            </w:r>
          </w:p>
          <w:p w14:paraId="2EB573A9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Rust</w:t>
            </w:r>
          </w:p>
          <w:p w14:paraId="0222ED58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Spring Dead Spot</w:t>
            </w:r>
          </w:p>
          <w:p w14:paraId="10F7FF5F" w14:textId="77777777" w:rsidR="00492277" w:rsidRPr="00BC3BD7" w:rsidRDefault="00492277" w:rsidP="004922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Summer Patch</w:t>
            </w:r>
          </w:p>
          <w:p w14:paraId="150C8E0C" w14:textId="77777777" w:rsidR="00492277" w:rsidRPr="00BC3BD7" w:rsidRDefault="00492277" w:rsidP="00492277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Take-all Patch</w:t>
            </w:r>
          </w:p>
          <w:p w14:paraId="1DB2251F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6EA08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Turfgrass insects</w:t>
            </w:r>
          </w:p>
          <w:p w14:paraId="798D1197" w14:textId="77777777" w:rsidR="00492277" w:rsidRPr="00BC3BD7" w:rsidRDefault="00492277" w:rsidP="0049227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Annual Bluegrass Weevil</w:t>
            </w:r>
          </w:p>
          <w:p w14:paraId="33E8C225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Armyworms</w:t>
            </w:r>
          </w:p>
          <w:p w14:paraId="036CDBB0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Asiatic Garden Beetle</w:t>
            </w:r>
          </w:p>
          <w:p w14:paraId="0234A50A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Black Turfgrass </w:t>
            </w: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Ataenius</w:t>
            </w:r>
            <w:proofErr w:type="spellEnd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 xml:space="preserve"> Beetle</w:t>
            </w:r>
          </w:p>
          <w:p w14:paraId="38AC29A7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Bluegrass Billbugs</w:t>
            </w:r>
          </w:p>
          <w:p w14:paraId="3FC6CE47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Chinchbugs</w:t>
            </w:r>
            <w:proofErr w:type="spellEnd"/>
          </w:p>
          <w:p w14:paraId="48E445C5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Cutworms</w:t>
            </w:r>
          </w:p>
          <w:p w14:paraId="78557772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Fall Armyworm</w:t>
            </w:r>
          </w:p>
          <w:p w14:paraId="01D44B4D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Fire Ants</w:t>
            </w:r>
          </w:p>
          <w:p w14:paraId="48597841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Green June Beetle</w:t>
            </w:r>
          </w:p>
          <w:p w14:paraId="2B6720B2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Japanese Beetle</w:t>
            </w:r>
          </w:p>
          <w:p w14:paraId="2E5E174B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May and June Beetles</w:t>
            </w:r>
          </w:p>
          <w:p w14:paraId="6AB06EC9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Masked Chafer</w:t>
            </w:r>
          </w:p>
          <w:p w14:paraId="0D970D5C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Mites</w:t>
            </w:r>
          </w:p>
          <w:p w14:paraId="76E82AF4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Mole Crickets</w:t>
            </w:r>
          </w:p>
          <w:p w14:paraId="43C4DD1C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Oriental Beetle</w:t>
            </w:r>
          </w:p>
          <w:p w14:paraId="7263486C" w14:textId="77777777" w:rsidR="00492277" w:rsidRPr="00BC3BD7" w:rsidRDefault="00492277" w:rsidP="00492277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Sod Webworms</w:t>
            </w:r>
          </w:p>
          <w:p w14:paraId="65DE3B7D" w14:textId="77777777" w:rsidR="00492277" w:rsidRPr="00BC3BD7" w:rsidRDefault="00492277" w:rsidP="00492277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3BD7">
              <w:rPr>
                <w:rFonts w:ascii="Times New Roman" w:hAnsi="Times New Roman" w:cs="Times New Roman"/>
                <w:sz w:val="24"/>
                <w:szCs w:val="24"/>
              </w:rPr>
              <w:t>White Grubs</w:t>
            </w:r>
          </w:p>
          <w:p w14:paraId="199D05C0" w14:textId="77777777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084AF" w14:textId="2D0C0264" w:rsidR="00492277" w:rsidRPr="00BC3BD7" w:rsidRDefault="00492277" w:rsidP="004922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4FE30" w14:textId="77777777" w:rsidR="00CB672F" w:rsidRDefault="00CB672F" w:rsidP="00C7565B">
      <w:pPr>
        <w:spacing w:line="240" w:lineRule="auto"/>
      </w:pPr>
      <w:r>
        <w:separator/>
      </w:r>
    </w:p>
  </w:endnote>
  <w:endnote w:type="continuationSeparator" w:id="0">
    <w:p w14:paraId="73752F40" w14:textId="77777777" w:rsidR="00CB672F" w:rsidRDefault="00CB672F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egacySan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EDE0" w14:textId="77777777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8B51EF">
      <w:rPr>
        <w:rStyle w:val="PageNumber"/>
        <w:noProof/>
        <w:sz w:val="24"/>
        <w:szCs w:val="24"/>
      </w:rPr>
      <w:t>3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1DA19" w14:textId="77777777" w:rsidR="00CB672F" w:rsidRDefault="00CB672F" w:rsidP="00C7565B">
      <w:pPr>
        <w:spacing w:line="240" w:lineRule="auto"/>
      </w:pPr>
      <w:r>
        <w:separator/>
      </w:r>
    </w:p>
  </w:footnote>
  <w:footnote w:type="continuationSeparator" w:id="0">
    <w:p w14:paraId="6350C84C" w14:textId="77777777" w:rsidR="00CB672F" w:rsidRDefault="00CB672F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855DE4"/>
    <w:multiLevelType w:val="hybridMultilevel"/>
    <w:tmpl w:val="918C2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D6AEA"/>
    <w:multiLevelType w:val="hybridMultilevel"/>
    <w:tmpl w:val="CB4E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D1208"/>
    <w:multiLevelType w:val="hybridMultilevel"/>
    <w:tmpl w:val="D03C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7BC10E4"/>
    <w:multiLevelType w:val="hybridMultilevel"/>
    <w:tmpl w:val="3DA4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FEC00BC"/>
    <w:multiLevelType w:val="hybridMultilevel"/>
    <w:tmpl w:val="BC68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041F"/>
    <w:multiLevelType w:val="hybridMultilevel"/>
    <w:tmpl w:val="795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7EFA"/>
    <w:multiLevelType w:val="hybridMultilevel"/>
    <w:tmpl w:val="FF22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E10A6"/>
    <w:multiLevelType w:val="hybridMultilevel"/>
    <w:tmpl w:val="D8B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9256F63"/>
    <w:multiLevelType w:val="hybridMultilevel"/>
    <w:tmpl w:val="07BE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41ED"/>
    <w:multiLevelType w:val="hybridMultilevel"/>
    <w:tmpl w:val="CA2C6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360702">
    <w:abstractNumId w:val="7"/>
  </w:num>
  <w:num w:numId="2" w16cid:durableId="1989550350">
    <w:abstractNumId w:val="5"/>
  </w:num>
  <w:num w:numId="3" w16cid:durableId="2043705870">
    <w:abstractNumId w:val="1"/>
  </w:num>
  <w:num w:numId="4" w16cid:durableId="413014721">
    <w:abstractNumId w:val="8"/>
  </w:num>
  <w:num w:numId="5" w16cid:durableId="1353219650">
    <w:abstractNumId w:val="13"/>
  </w:num>
  <w:num w:numId="6" w16cid:durableId="682785639">
    <w:abstractNumId w:val="0"/>
  </w:num>
  <w:num w:numId="7" w16cid:durableId="1950814858">
    <w:abstractNumId w:val="3"/>
  </w:num>
  <w:num w:numId="8" w16cid:durableId="1427267767">
    <w:abstractNumId w:val="2"/>
  </w:num>
  <w:num w:numId="9" w16cid:durableId="881333453">
    <w:abstractNumId w:val="6"/>
  </w:num>
  <w:num w:numId="10" w16cid:durableId="1500851394">
    <w:abstractNumId w:val="12"/>
  </w:num>
  <w:num w:numId="11" w16cid:durableId="1673874520">
    <w:abstractNumId w:val="15"/>
  </w:num>
  <w:num w:numId="12" w16cid:durableId="1763450157">
    <w:abstractNumId w:val="11"/>
  </w:num>
  <w:num w:numId="13" w16cid:durableId="790514091">
    <w:abstractNumId w:val="10"/>
  </w:num>
  <w:num w:numId="14" w16cid:durableId="1059937800">
    <w:abstractNumId w:val="4"/>
  </w:num>
  <w:num w:numId="15" w16cid:durableId="2125076145">
    <w:abstractNumId w:val="14"/>
  </w:num>
  <w:num w:numId="16" w16cid:durableId="1816678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E"/>
    <w:rsid w:val="00020BBB"/>
    <w:rsid w:val="00056339"/>
    <w:rsid w:val="000E3654"/>
    <w:rsid w:val="00140E8D"/>
    <w:rsid w:val="0017626E"/>
    <w:rsid w:val="002C7F44"/>
    <w:rsid w:val="004555CF"/>
    <w:rsid w:val="00492277"/>
    <w:rsid w:val="005900F8"/>
    <w:rsid w:val="005E5CB6"/>
    <w:rsid w:val="005E6C42"/>
    <w:rsid w:val="007B6393"/>
    <w:rsid w:val="00850E79"/>
    <w:rsid w:val="008B51EF"/>
    <w:rsid w:val="008D4B1C"/>
    <w:rsid w:val="008F2B71"/>
    <w:rsid w:val="009055B5"/>
    <w:rsid w:val="009E246F"/>
    <w:rsid w:val="00B42FA2"/>
    <w:rsid w:val="00B6058E"/>
    <w:rsid w:val="00BA01CB"/>
    <w:rsid w:val="00BB17E5"/>
    <w:rsid w:val="00C36940"/>
    <w:rsid w:val="00C43294"/>
    <w:rsid w:val="00C7565B"/>
    <w:rsid w:val="00CB672F"/>
    <w:rsid w:val="00DC208D"/>
    <w:rsid w:val="00E531F2"/>
    <w:rsid w:val="00F218EA"/>
    <w:rsid w:val="00F7709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D1B01D61-2B53-4517-AEFF-CCCCA106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paragraph" w:customStyle="1" w:styleId="Default">
    <w:name w:val="Default"/>
    <w:rsid w:val="00C36940"/>
    <w:pPr>
      <w:autoSpaceDE w:val="0"/>
      <w:autoSpaceDN w:val="0"/>
      <w:adjustRightInd w:val="0"/>
    </w:pPr>
    <w:rPr>
      <w:rFonts w:ascii="Mongolian Baiti" w:hAnsi="Mongolian Baiti" w:cs="Mongolian Baiti"/>
      <w:color w:val="000000"/>
    </w:rPr>
  </w:style>
  <w:style w:type="character" w:styleId="Hyperlink">
    <w:name w:val="Hyperlink"/>
    <w:basedOn w:val="DefaultParagraphFont"/>
    <w:uiPriority w:val="99"/>
    <w:unhideWhenUsed/>
    <w:rsid w:val="008B51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58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E5CB6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5C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492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ntscience.psu.edu/research/centers/turf/extension/professional-tur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ntscience.psu.edu/research/centers/turf/extension/plant-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thouse113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Masser, Douglas</dc:creator>
  <cp:lastModifiedBy>Kristen Althouse</cp:lastModifiedBy>
  <cp:revision>5</cp:revision>
  <dcterms:created xsi:type="dcterms:W3CDTF">2024-07-23T13:42:00Z</dcterms:created>
  <dcterms:modified xsi:type="dcterms:W3CDTF">2024-07-23T14:44:00Z</dcterms:modified>
</cp:coreProperties>
</file>